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2" w:rsidRPr="000F03A5" w:rsidRDefault="001D62B2" w:rsidP="001D62B2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  <w:r w:rsidRPr="000F03A5">
        <w:rPr>
          <w:rFonts w:ascii="Arial" w:hAnsi="Arial" w:cs="Arial"/>
          <w:b/>
          <w:color w:val="000000"/>
        </w:rPr>
        <w:t>Obec Dolní Novosedly</w:t>
      </w:r>
    </w:p>
    <w:p w:rsidR="001D62B2" w:rsidRPr="000F03A5" w:rsidRDefault="001D62B2" w:rsidP="001D62B2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0F03A5">
        <w:rPr>
          <w:rFonts w:ascii="Arial" w:hAnsi="Arial" w:cs="Arial"/>
          <w:b/>
          <w:color w:val="000000"/>
          <w:szCs w:val="24"/>
        </w:rPr>
        <w:t>Zastupitelstvo obce Dolní Novosedly</w:t>
      </w:r>
    </w:p>
    <w:p w:rsidR="001D62B2" w:rsidRDefault="001D62B2" w:rsidP="001D62B2">
      <w:pPr>
        <w:pStyle w:val="NormlnIMP"/>
        <w:spacing w:before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E451A">
        <w:rPr>
          <w:rFonts w:ascii="Arial" w:hAnsi="Arial" w:cs="Arial"/>
          <w:b/>
          <w:sz w:val="36"/>
          <w:szCs w:val="36"/>
        </w:rPr>
        <w:t xml:space="preserve">Obecně závazná vyhláška obce Dolní Novosedly </w:t>
      </w:r>
    </w:p>
    <w:p w:rsidR="001D62B2" w:rsidRPr="007E451A" w:rsidRDefault="001D62B2" w:rsidP="001D62B2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7E451A">
        <w:rPr>
          <w:rFonts w:ascii="Arial" w:hAnsi="Arial" w:cs="Arial"/>
          <w:b/>
          <w:sz w:val="36"/>
          <w:szCs w:val="36"/>
        </w:rPr>
        <w:t xml:space="preserve">č. </w:t>
      </w:r>
      <w:r>
        <w:rPr>
          <w:rFonts w:ascii="Arial" w:hAnsi="Arial" w:cs="Arial"/>
          <w:b/>
          <w:sz w:val="36"/>
          <w:szCs w:val="36"/>
        </w:rPr>
        <w:t>2</w:t>
      </w:r>
      <w:r w:rsidRPr="007E451A">
        <w:rPr>
          <w:rFonts w:ascii="Arial" w:hAnsi="Arial" w:cs="Arial"/>
          <w:b/>
          <w:sz w:val="36"/>
          <w:szCs w:val="36"/>
        </w:rPr>
        <w:t>/20</w:t>
      </w:r>
      <w:r>
        <w:rPr>
          <w:rFonts w:ascii="Arial" w:hAnsi="Arial" w:cs="Arial"/>
          <w:b/>
          <w:sz w:val="36"/>
          <w:szCs w:val="36"/>
        </w:rPr>
        <w:t>19</w:t>
      </w:r>
      <w:r w:rsidRPr="007E451A">
        <w:rPr>
          <w:rFonts w:ascii="Arial" w:hAnsi="Arial" w:cs="Arial"/>
          <w:b/>
          <w:sz w:val="36"/>
          <w:szCs w:val="36"/>
        </w:rPr>
        <w:t>,</w:t>
      </w:r>
    </w:p>
    <w:p w:rsidR="001D62B2" w:rsidRPr="000F03A5" w:rsidRDefault="000F03A5" w:rsidP="001D62B2">
      <w:pPr>
        <w:jc w:val="center"/>
        <w:rPr>
          <w:rFonts w:ascii="Arial" w:hAnsi="Arial" w:cs="Arial"/>
          <w:b/>
          <w:bCs/>
          <w:color w:val="000000"/>
        </w:rPr>
      </w:pPr>
      <w:r w:rsidRPr="000F03A5">
        <w:rPr>
          <w:rFonts w:ascii="Arial" w:hAnsi="Arial" w:cs="Arial"/>
          <w:b/>
          <w:bCs/>
          <w:color w:val="000000"/>
        </w:rPr>
        <w:t>o místním poplatku za provoz</w:t>
      </w:r>
    </w:p>
    <w:p w:rsidR="008D6906" w:rsidRPr="000F03A5" w:rsidRDefault="008D6906" w:rsidP="008D6906">
      <w:pPr>
        <w:jc w:val="center"/>
        <w:rPr>
          <w:rFonts w:ascii="Arial" w:hAnsi="Arial" w:cs="Arial"/>
          <w:b/>
        </w:rPr>
      </w:pPr>
      <w:r w:rsidRPr="000F03A5">
        <w:rPr>
          <w:rFonts w:ascii="Arial" w:hAnsi="Arial" w:cs="Arial"/>
          <w:b/>
        </w:rPr>
        <w:t>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1D62B2">
        <w:rPr>
          <w:rFonts w:ascii="Arial" w:hAnsi="Arial" w:cs="Arial"/>
          <w:b w:val="0"/>
          <w:sz w:val="22"/>
          <w:szCs w:val="22"/>
        </w:rPr>
        <w:t xml:space="preserve"> Dolní Novosedly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8F68CA">
        <w:rPr>
          <w:rFonts w:ascii="Arial" w:hAnsi="Arial" w:cs="Arial"/>
          <w:b w:val="0"/>
          <w:sz w:val="22"/>
          <w:szCs w:val="22"/>
        </w:rPr>
        <w:t>31. 12. 2019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8F68CA">
        <w:rPr>
          <w:rFonts w:ascii="Arial" w:hAnsi="Arial" w:cs="Arial"/>
          <w:b w:val="0"/>
          <w:sz w:val="22"/>
          <w:szCs w:val="22"/>
        </w:rPr>
        <w:t>6/2019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1D62B2">
        <w:rPr>
          <w:rFonts w:ascii="Arial" w:hAnsi="Arial" w:cs="Arial"/>
          <w:sz w:val="22"/>
          <w:szCs w:val="22"/>
        </w:rPr>
        <w:t xml:space="preserve"> Dolní Novosedly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1D62B2">
        <w:rPr>
          <w:rFonts w:ascii="Arial" w:hAnsi="Arial" w:cs="Arial"/>
          <w:sz w:val="22"/>
          <w:szCs w:val="22"/>
        </w:rPr>
        <w:t xml:space="preserve"> Dolní Novosedly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>do</w:t>
      </w:r>
      <w:r w:rsidR="001D62B2">
        <w:rPr>
          <w:rFonts w:ascii="Arial" w:hAnsi="Arial" w:cs="Arial"/>
          <w:sz w:val="22"/>
          <w:szCs w:val="22"/>
        </w:rPr>
        <w:t xml:space="preserve"> 30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>t platit tento poplatek vznik</w:t>
      </w:r>
      <w:r w:rsidR="00C35DC9">
        <w:rPr>
          <w:rFonts w:ascii="Arial" w:hAnsi="Arial" w:cs="Arial"/>
          <w:sz w:val="22"/>
          <w:szCs w:val="22"/>
        </w:rPr>
        <w:t>la.</w:t>
      </w:r>
      <w:r w:rsidR="00C31C1A" w:rsidRPr="002E0EAD">
        <w:rPr>
          <w:rFonts w:ascii="Arial" w:hAnsi="Arial" w:cs="Arial"/>
          <w:sz w:val="22"/>
          <w:szCs w:val="22"/>
        </w:rPr>
        <w:t xml:space="preserve"> </w:t>
      </w:r>
    </w:p>
    <w:p w:rsidR="007D7D86" w:rsidRPr="002E0EAD" w:rsidRDefault="00F41241" w:rsidP="00C35DC9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  <w:r w:rsidR="00C35DC9">
        <w:rPr>
          <w:rFonts w:ascii="Arial" w:hAnsi="Arial" w:cs="Arial"/>
          <w:sz w:val="22"/>
          <w:szCs w:val="22"/>
        </w:rPr>
        <w:t xml:space="preserve"> Současně uvede skutečnosti zakládající</w:t>
      </w:r>
      <w:r w:rsidR="00C35DC9" w:rsidRPr="002E0EAD">
        <w:rPr>
          <w:rFonts w:ascii="Arial" w:hAnsi="Arial" w:cs="Arial"/>
          <w:sz w:val="22"/>
          <w:szCs w:val="22"/>
        </w:rPr>
        <w:t xml:space="preserve"> nárok na osvobození nebo úlevu od poplatku.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1D62B2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DD09F5" w:rsidRDefault="00DD09F5" w:rsidP="00DD09F5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D62B2">
        <w:rPr>
          <w:rFonts w:ascii="Arial" w:hAnsi="Arial" w:cs="Arial"/>
          <w:sz w:val="22"/>
          <w:szCs w:val="22"/>
        </w:rPr>
        <w:t>350,-</w:t>
      </w:r>
      <w:r w:rsidRPr="002E0EAD">
        <w:rPr>
          <w:rFonts w:ascii="Arial" w:hAnsi="Arial" w:cs="Arial"/>
          <w:sz w:val="22"/>
          <w:szCs w:val="22"/>
        </w:rPr>
        <w:t xml:space="preserve"> Kč a je tvořena:</w:t>
      </w:r>
    </w:p>
    <w:p w:rsidR="000F03A5" w:rsidRDefault="000F03A5" w:rsidP="000F03A5">
      <w:pPr>
        <w:pStyle w:val="Odstavecseseznamem"/>
        <w:numPr>
          <w:ilvl w:val="1"/>
          <w:numId w:val="1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0,- </w:t>
      </w:r>
      <w:r w:rsidR="00E021A5">
        <w:rPr>
          <w:rFonts w:ascii="Arial" w:hAnsi="Arial" w:cs="Arial"/>
          <w:sz w:val="22"/>
          <w:szCs w:val="22"/>
        </w:rPr>
        <w:t>za kale</w:t>
      </w:r>
      <w:r>
        <w:rPr>
          <w:rFonts w:ascii="Arial" w:hAnsi="Arial" w:cs="Arial"/>
          <w:sz w:val="22"/>
          <w:szCs w:val="22"/>
        </w:rPr>
        <w:t>ndářní rok a</w:t>
      </w:r>
    </w:p>
    <w:p w:rsidR="000F03A5" w:rsidRPr="000F03A5" w:rsidRDefault="000F03A5" w:rsidP="000F03A5">
      <w:pPr>
        <w:pStyle w:val="Odstavecseseznamem"/>
        <w:numPr>
          <w:ilvl w:val="1"/>
          <w:numId w:val="1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350,- Kč za kalendářní rok. Tato částka je stanovena na základě skutečných nákladů obce předchozího kalendářního roku na sběr a svoz netříděného komunálního odpadu za poplatníka a kalendářní rok.</w:t>
      </w:r>
    </w:p>
    <w:p w:rsidR="00131160" w:rsidRPr="002E0EAD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>za rok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1D62B2">
        <w:rPr>
          <w:rFonts w:ascii="Arial" w:hAnsi="Arial" w:cs="Arial"/>
          <w:sz w:val="22"/>
          <w:szCs w:val="22"/>
        </w:rPr>
        <w:t>2018</w:t>
      </w:r>
      <w:r w:rsidRPr="002E0EAD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 w:rsidR="001D62B2">
        <w:rPr>
          <w:rFonts w:ascii="Arial" w:hAnsi="Arial" w:cs="Arial"/>
          <w:sz w:val="22"/>
          <w:szCs w:val="22"/>
        </w:rPr>
        <w:t>274.862.-</w:t>
      </w:r>
      <w:r w:rsidRPr="002E0EAD">
        <w:rPr>
          <w:rFonts w:ascii="Arial" w:hAnsi="Arial" w:cs="Arial"/>
          <w:sz w:val="22"/>
          <w:szCs w:val="22"/>
        </w:rPr>
        <w:t>. a byly rozúčtovány takto:</w:t>
      </w:r>
    </w:p>
    <w:p w:rsidR="00131160" w:rsidRPr="002E0EAD" w:rsidRDefault="00131160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1D62B2">
        <w:rPr>
          <w:rFonts w:ascii="Arial" w:hAnsi="Arial" w:cs="Arial"/>
          <w:sz w:val="22"/>
          <w:szCs w:val="22"/>
        </w:rPr>
        <w:t>274.862,- Kč</w:t>
      </w:r>
      <w:r w:rsidRPr="002E0EAD">
        <w:rPr>
          <w:rFonts w:ascii="Arial" w:hAnsi="Arial" w:cs="Arial"/>
          <w:sz w:val="22"/>
          <w:szCs w:val="22"/>
        </w:rPr>
        <w:t xml:space="preserve">. děleno </w:t>
      </w:r>
      <w:r w:rsidR="001D62B2">
        <w:rPr>
          <w:rFonts w:ascii="Arial" w:hAnsi="Arial" w:cs="Arial"/>
          <w:sz w:val="22"/>
          <w:szCs w:val="22"/>
        </w:rPr>
        <w:t>305</w:t>
      </w:r>
      <w:r w:rsidRPr="002E0EAD">
        <w:rPr>
          <w:rFonts w:ascii="Arial" w:hAnsi="Arial" w:cs="Arial"/>
          <w:sz w:val="22"/>
          <w:szCs w:val="22"/>
        </w:rPr>
        <w:t xml:space="preserve">  (</w:t>
      </w:r>
      <w:r w:rsidR="001D62B2">
        <w:rPr>
          <w:rFonts w:ascii="Arial" w:hAnsi="Arial" w:cs="Arial"/>
          <w:sz w:val="22"/>
          <w:szCs w:val="22"/>
        </w:rPr>
        <w:t>216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B47464" w:rsidRPr="002E0EAD">
        <w:rPr>
          <w:rFonts w:ascii="Arial" w:hAnsi="Arial" w:cs="Arial"/>
          <w:sz w:val="22"/>
          <w:szCs w:val="22"/>
        </w:rPr>
        <w:t xml:space="preserve">počet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 w:rsidRPr="002E0EAD">
        <w:rPr>
          <w:rFonts w:ascii="Arial" w:hAnsi="Arial" w:cs="Arial"/>
          <w:sz w:val="22"/>
          <w:szCs w:val="22"/>
        </w:rPr>
        <w:t xml:space="preserve"> na území obce + </w:t>
      </w:r>
      <w:r w:rsidR="001D62B2">
        <w:rPr>
          <w:rFonts w:ascii="Arial" w:hAnsi="Arial" w:cs="Arial"/>
          <w:sz w:val="22"/>
          <w:szCs w:val="22"/>
        </w:rPr>
        <w:t>89</w:t>
      </w:r>
      <w:r w:rsidRPr="002E0EAD">
        <w:rPr>
          <w:rFonts w:ascii="Arial" w:hAnsi="Arial" w:cs="Arial"/>
          <w:sz w:val="22"/>
          <w:szCs w:val="22"/>
        </w:rPr>
        <w:t xml:space="preserve"> počet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Pr="002E0EAD">
        <w:rPr>
          <w:rFonts w:ascii="Arial" w:hAnsi="Arial" w:cs="Arial"/>
          <w:sz w:val="22"/>
          <w:szCs w:val="22"/>
        </w:rPr>
        <w:t xml:space="preserve">) = </w:t>
      </w:r>
      <w:r w:rsidR="001D62B2">
        <w:rPr>
          <w:rFonts w:ascii="Arial" w:hAnsi="Arial" w:cs="Arial"/>
          <w:sz w:val="22"/>
          <w:szCs w:val="22"/>
        </w:rPr>
        <w:t>901,-</w:t>
      </w:r>
      <w:r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1D62B2">
        <w:rPr>
          <w:rFonts w:ascii="Arial" w:hAnsi="Arial" w:cs="Arial"/>
          <w:sz w:val="22"/>
          <w:szCs w:val="22"/>
        </w:rPr>
        <w:t>350,-</w:t>
      </w:r>
      <w:r w:rsidRPr="002E0EAD">
        <w:rPr>
          <w:rFonts w:ascii="Arial" w:hAnsi="Arial" w:cs="Arial"/>
          <w:sz w:val="22"/>
          <w:szCs w:val="22"/>
        </w:rPr>
        <w:t xml:space="preserve"> Kč. </w:t>
      </w: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0F03A5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D62B2">
        <w:rPr>
          <w:rFonts w:ascii="Arial" w:hAnsi="Arial" w:cs="Arial"/>
          <w:sz w:val="22"/>
          <w:szCs w:val="22"/>
        </w:rPr>
        <w:t xml:space="preserve">Poplatek je splatný jednorázově a to nejpozději do </w:t>
      </w:r>
      <w:r w:rsidR="001D62B2" w:rsidRPr="001D62B2">
        <w:rPr>
          <w:rFonts w:ascii="Arial" w:hAnsi="Arial" w:cs="Arial"/>
          <w:sz w:val="22"/>
          <w:szCs w:val="22"/>
        </w:rPr>
        <w:t>30.6.</w:t>
      </w:r>
      <w:r w:rsidRPr="001D62B2">
        <w:rPr>
          <w:rFonts w:ascii="Arial" w:hAnsi="Arial" w:cs="Arial"/>
          <w:sz w:val="22"/>
          <w:szCs w:val="22"/>
        </w:rPr>
        <w:t xml:space="preserve"> příslušného kalendářního roku</w:t>
      </w:r>
      <w:r w:rsidR="00322107" w:rsidRPr="001D62B2">
        <w:rPr>
          <w:rFonts w:ascii="Arial" w:hAnsi="Arial" w:cs="Arial"/>
          <w:sz w:val="22"/>
          <w:szCs w:val="22"/>
        </w:rPr>
        <w:t xml:space="preserve"> </w:t>
      </w:r>
    </w:p>
    <w:p w:rsidR="00131160" w:rsidRPr="001D62B2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D62B2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E907D6" w:rsidRPr="001D62B2">
        <w:rPr>
          <w:rFonts w:ascii="Arial" w:hAnsi="Arial" w:cs="Arial"/>
          <w:sz w:val="22"/>
          <w:szCs w:val="22"/>
        </w:rPr>
        <w:t>ém poplatková povinnost vznikla.</w:t>
      </w:r>
      <w:r w:rsidRPr="001D62B2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0F03A5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9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5B47E4" w:rsidRPr="002E0EAD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Údaj ro</w:t>
      </w:r>
      <w:r w:rsidR="000F03A5">
        <w:rPr>
          <w:rFonts w:ascii="Arial" w:hAnsi="Arial" w:cs="Arial"/>
          <w:sz w:val="22"/>
          <w:szCs w:val="22"/>
        </w:rPr>
        <w:t>zhodný pro osvobození</w:t>
      </w:r>
      <w:r w:rsidRPr="002E0EAD">
        <w:rPr>
          <w:rFonts w:ascii="Arial" w:hAnsi="Arial" w:cs="Arial"/>
          <w:sz w:val="22"/>
          <w:szCs w:val="22"/>
        </w:rPr>
        <w:t xml:space="preserve"> dle odst. </w:t>
      </w:r>
      <w:r w:rsidR="008262A6">
        <w:rPr>
          <w:rFonts w:ascii="Arial" w:hAnsi="Arial" w:cs="Arial"/>
          <w:sz w:val="22"/>
          <w:szCs w:val="22"/>
        </w:rPr>
        <w:t>1</w:t>
      </w:r>
      <w:r w:rsidRPr="002E0EAD">
        <w:rPr>
          <w:rFonts w:ascii="Arial" w:hAnsi="Arial" w:cs="Arial"/>
          <w:sz w:val="22"/>
          <w:szCs w:val="22"/>
        </w:rPr>
        <w:t xml:space="preserve"> tohoto článku je poplatník povinen ohlásit ve lhůtě do </w:t>
      </w:r>
      <w:r w:rsidR="008262A6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BA1E8D" w:rsidRPr="002E0EAD" w:rsidRDefault="008262A6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  <w:t>V případě, že poplatník nesplní povinnost ohlásit údaj roz</w:t>
      </w:r>
      <w:r w:rsidR="000F03A5">
        <w:rPr>
          <w:rFonts w:ascii="Arial" w:hAnsi="Arial" w:cs="Arial"/>
          <w:sz w:val="22"/>
          <w:szCs w:val="22"/>
        </w:rPr>
        <w:t xml:space="preserve">hodný pro osvobození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="000F03A5">
        <w:rPr>
          <w:rFonts w:ascii="Arial" w:hAnsi="Arial" w:cs="Arial"/>
          <w:sz w:val="22"/>
          <w:szCs w:val="22"/>
        </w:rPr>
        <w:t xml:space="preserve"> nárok na osvobození </w:t>
      </w:r>
      <w:r w:rsidR="00BA1E8D" w:rsidRPr="002E0EAD">
        <w:rPr>
          <w:rFonts w:ascii="Arial" w:hAnsi="Arial" w:cs="Arial"/>
          <w:sz w:val="22"/>
          <w:szCs w:val="22"/>
        </w:rPr>
        <w:t>zaniká.</w:t>
      </w:r>
      <w:r w:rsidR="00BA1E8D"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8262A6" w:rsidRDefault="00EE07B0" w:rsidP="00B71306">
      <w:pPr>
        <w:pStyle w:val="Nzvylnk"/>
        <w:rPr>
          <w:rFonts w:ascii="Arial" w:hAnsi="Arial" w:cs="Arial"/>
        </w:rPr>
      </w:pPr>
      <w:r w:rsidRPr="008262A6">
        <w:rPr>
          <w:rFonts w:ascii="Arial" w:hAnsi="Arial" w:cs="Arial"/>
        </w:rPr>
        <w:t xml:space="preserve">Přechodné </w:t>
      </w:r>
      <w:r w:rsidR="00A05EA6" w:rsidRPr="008262A6">
        <w:rPr>
          <w:rFonts w:ascii="Arial" w:hAnsi="Arial" w:cs="Arial"/>
        </w:rPr>
        <w:t xml:space="preserve">a </w:t>
      </w:r>
      <w:r w:rsidRPr="008262A6">
        <w:rPr>
          <w:rFonts w:ascii="Arial" w:hAnsi="Arial" w:cs="Arial"/>
        </w:rPr>
        <w:t>z</w:t>
      </w:r>
      <w:r w:rsidR="00131160" w:rsidRPr="008262A6">
        <w:rPr>
          <w:rFonts w:ascii="Arial" w:hAnsi="Arial" w:cs="Arial"/>
        </w:rPr>
        <w:t>rušovací ustanovení</w:t>
      </w:r>
    </w:p>
    <w:p w:rsidR="008D6906" w:rsidRPr="008262A6" w:rsidRDefault="008D6906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262A6">
        <w:rPr>
          <w:rFonts w:ascii="Arial" w:hAnsi="Arial" w:cs="Arial"/>
          <w:sz w:val="22"/>
          <w:szCs w:val="22"/>
        </w:rPr>
        <w:t>Zrušuj</w:t>
      </w:r>
      <w:r w:rsidR="000F03A5">
        <w:rPr>
          <w:rFonts w:ascii="Arial" w:hAnsi="Arial" w:cs="Arial"/>
          <w:sz w:val="22"/>
          <w:szCs w:val="22"/>
        </w:rPr>
        <w:t xml:space="preserve">e se obecně </w:t>
      </w:r>
      <w:r w:rsidR="008262A6" w:rsidRPr="008262A6">
        <w:rPr>
          <w:rFonts w:ascii="Arial" w:hAnsi="Arial" w:cs="Arial"/>
          <w:sz w:val="22"/>
          <w:szCs w:val="22"/>
        </w:rPr>
        <w:t>Obecně závazná vyhláška obce Dolní Novosedly č. 2/2017 o místn</w:t>
      </w:r>
      <w:r w:rsidR="000F03A5">
        <w:rPr>
          <w:rFonts w:ascii="Arial" w:hAnsi="Arial" w:cs="Arial"/>
          <w:sz w:val="22"/>
          <w:szCs w:val="22"/>
        </w:rPr>
        <w:t>ích poplatcích ze dne 16. 11. 2017.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262A6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8262A6">
        <w:rPr>
          <w:rFonts w:ascii="Arial" w:hAnsi="Arial" w:cs="Arial"/>
          <w:sz w:val="22"/>
          <w:szCs w:val="22"/>
        </w:rPr>
        <w:t>i</w:t>
      </w:r>
      <w:r w:rsidRPr="008262A6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8262A6">
        <w:rPr>
          <w:rFonts w:ascii="Arial" w:hAnsi="Arial" w:cs="Arial"/>
          <w:sz w:val="22"/>
          <w:szCs w:val="22"/>
        </w:rPr>
        <w:t>po</w:t>
      </w:r>
      <w:r w:rsidRPr="008262A6">
        <w:rPr>
          <w:rFonts w:ascii="Arial" w:hAnsi="Arial" w:cs="Arial"/>
          <w:sz w:val="22"/>
          <w:szCs w:val="22"/>
        </w:rPr>
        <w:t xml:space="preserve">dle </w:t>
      </w:r>
      <w:r w:rsidR="001B6CD8" w:rsidRPr="008262A6">
        <w:rPr>
          <w:rFonts w:ascii="Arial" w:hAnsi="Arial" w:cs="Arial"/>
          <w:sz w:val="22"/>
          <w:szCs w:val="22"/>
        </w:rPr>
        <w:t xml:space="preserve">dosavadních </w:t>
      </w:r>
      <w:r w:rsidRPr="008262A6">
        <w:rPr>
          <w:rFonts w:ascii="Arial" w:hAnsi="Arial" w:cs="Arial"/>
          <w:sz w:val="22"/>
          <w:szCs w:val="22"/>
        </w:rPr>
        <w:t>právních předpisů</w:t>
      </w:r>
      <w:r w:rsidR="00A05EA6" w:rsidRPr="008262A6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</w:t>
      </w:r>
      <w:r w:rsidR="008262A6">
        <w:rPr>
          <w:rFonts w:ascii="Arial" w:hAnsi="Arial" w:cs="Arial"/>
          <w:sz w:val="22"/>
          <w:szCs w:val="22"/>
        </w:rPr>
        <w:t>vyhláška nabývá účinnosti dnem 1.</w:t>
      </w:r>
      <w:r w:rsidR="000F03A5">
        <w:rPr>
          <w:rFonts w:ascii="Arial" w:hAnsi="Arial" w:cs="Arial"/>
          <w:sz w:val="22"/>
          <w:szCs w:val="22"/>
        </w:rPr>
        <w:t xml:space="preserve"> </w:t>
      </w:r>
      <w:r w:rsidR="008262A6">
        <w:rPr>
          <w:rFonts w:ascii="Arial" w:hAnsi="Arial" w:cs="Arial"/>
          <w:sz w:val="22"/>
          <w:szCs w:val="22"/>
        </w:rPr>
        <w:t>1.</w:t>
      </w:r>
      <w:r w:rsidR="000F03A5">
        <w:rPr>
          <w:rFonts w:ascii="Arial" w:hAnsi="Arial" w:cs="Arial"/>
          <w:sz w:val="22"/>
          <w:szCs w:val="22"/>
        </w:rPr>
        <w:t xml:space="preserve"> </w:t>
      </w:r>
      <w:r w:rsidR="008262A6">
        <w:rPr>
          <w:rFonts w:ascii="Arial" w:hAnsi="Arial" w:cs="Arial"/>
          <w:sz w:val="22"/>
          <w:szCs w:val="22"/>
        </w:rPr>
        <w:t>2020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262A6" w:rsidRDefault="008262A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262A6" w:rsidRDefault="008262A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262A6" w:rsidRDefault="008262A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262A6" w:rsidRPr="002E0EAD" w:rsidRDefault="008262A6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F03A5">
        <w:rPr>
          <w:rFonts w:ascii="Arial" w:hAnsi="Arial" w:cs="Arial"/>
          <w:sz w:val="22"/>
          <w:szCs w:val="22"/>
        </w:rPr>
        <w:t>Štěpán Marek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0F03A5">
        <w:rPr>
          <w:rFonts w:ascii="Arial" w:hAnsi="Arial" w:cs="Arial"/>
          <w:sz w:val="22"/>
          <w:szCs w:val="22"/>
        </w:rPr>
        <w:t>Zdeněk Vituj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F03A5" w:rsidRDefault="000F03A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0F03A5" w:rsidRPr="002E0EAD" w:rsidRDefault="000F03A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E021A5">
        <w:rPr>
          <w:rFonts w:ascii="Arial" w:hAnsi="Arial" w:cs="Arial"/>
          <w:sz w:val="22"/>
          <w:szCs w:val="22"/>
        </w:rPr>
        <w:t xml:space="preserve"> </w:t>
      </w:r>
    </w:p>
    <w:p w:rsidR="008262A6" w:rsidRDefault="008262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262A6" w:rsidRDefault="008262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262A6" w:rsidRDefault="008262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262A6" w:rsidRDefault="008262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7C" w:rsidRDefault="003A767C">
      <w:r>
        <w:separator/>
      </w:r>
    </w:p>
  </w:endnote>
  <w:endnote w:type="continuationSeparator" w:id="1">
    <w:p w:rsidR="003A767C" w:rsidRDefault="003A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CB342A">
    <w:pPr>
      <w:pStyle w:val="Zpat"/>
      <w:jc w:val="center"/>
    </w:pPr>
    <w:fldSimple w:instr="PAGE   \* MERGEFORMAT">
      <w:r w:rsidR="008F68CA">
        <w:rPr>
          <w:noProof/>
        </w:rPr>
        <w:t>1</w:t>
      </w:r>
    </w:fldSimple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7C" w:rsidRDefault="003A767C">
      <w:r>
        <w:separator/>
      </w:r>
    </w:p>
  </w:footnote>
  <w:footnote w:type="continuationSeparator" w:id="1">
    <w:p w:rsidR="003A767C" w:rsidRDefault="003A767C">
      <w:r>
        <w:continuationSeparator/>
      </w:r>
    </w:p>
  </w:footnote>
  <w:footnote w:id="2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4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10">
    <w:p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2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3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10B51"/>
    <w:rsid w:val="000129AF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758D"/>
    <w:rsid w:val="000D3E28"/>
    <w:rsid w:val="000E741B"/>
    <w:rsid w:val="000F03A5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B36E4"/>
    <w:rsid w:val="001B6CD8"/>
    <w:rsid w:val="001C1953"/>
    <w:rsid w:val="001D62B2"/>
    <w:rsid w:val="001E0982"/>
    <w:rsid w:val="001E38ED"/>
    <w:rsid w:val="001E74A9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3E40"/>
    <w:rsid w:val="00304575"/>
    <w:rsid w:val="00322107"/>
    <w:rsid w:val="003310BE"/>
    <w:rsid w:val="0033112D"/>
    <w:rsid w:val="003338CC"/>
    <w:rsid w:val="00362A72"/>
    <w:rsid w:val="00371501"/>
    <w:rsid w:val="00383E0E"/>
    <w:rsid w:val="00384D76"/>
    <w:rsid w:val="0038599B"/>
    <w:rsid w:val="003911AE"/>
    <w:rsid w:val="003958C3"/>
    <w:rsid w:val="003A74F6"/>
    <w:rsid w:val="003A767C"/>
    <w:rsid w:val="003B2625"/>
    <w:rsid w:val="003B4C7B"/>
    <w:rsid w:val="003C0C49"/>
    <w:rsid w:val="003C2D77"/>
    <w:rsid w:val="003C791B"/>
    <w:rsid w:val="003D33EB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62D07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4C8A"/>
    <w:rsid w:val="00515084"/>
    <w:rsid w:val="00526D68"/>
    <w:rsid w:val="00546241"/>
    <w:rsid w:val="00550C8C"/>
    <w:rsid w:val="00556B86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5F6F56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B06BE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2A6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C220E"/>
    <w:rsid w:val="008D6906"/>
    <w:rsid w:val="008E43B1"/>
    <w:rsid w:val="008F3152"/>
    <w:rsid w:val="008F68CA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145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30F4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36221"/>
    <w:rsid w:val="00B369A7"/>
    <w:rsid w:val="00B47464"/>
    <w:rsid w:val="00B51A7D"/>
    <w:rsid w:val="00B62A84"/>
    <w:rsid w:val="00B63BFF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C050BE"/>
    <w:rsid w:val="00C1031D"/>
    <w:rsid w:val="00C17467"/>
    <w:rsid w:val="00C3174D"/>
    <w:rsid w:val="00C31C1A"/>
    <w:rsid w:val="00C35DC9"/>
    <w:rsid w:val="00C53646"/>
    <w:rsid w:val="00C54C28"/>
    <w:rsid w:val="00C63342"/>
    <w:rsid w:val="00C6548E"/>
    <w:rsid w:val="00C654E2"/>
    <w:rsid w:val="00C67504"/>
    <w:rsid w:val="00C77181"/>
    <w:rsid w:val="00C863F8"/>
    <w:rsid w:val="00C94444"/>
    <w:rsid w:val="00CB342A"/>
    <w:rsid w:val="00CC0853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4D9E"/>
    <w:rsid w:val="00DF7748"/>
    <w:rsid w:val="00E021A5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0F0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43E1-4B0D-4E4E-8B15-B74FA452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Ucto</cp:lastModifiedBy>
  <cp:revision>4</cp:revision>
  <cp:lastPrinted>2020-01-02T13:26:00Z</cp:lastPrinted>
  <dcterms:created xsi:type="dcterms:W3CDTF">2019-12-12T13:03:00Z</dcterms:created>
  <dcterms:modified xsi:type="dcterms:W3CDTF">2020-01-02T14:22:00Z</dcterms:modified>
</cp:coreProperties>
</file>